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D2197" w14:textId="77777777" w:rsidR="000F61B8" w:rsidRDefault="00A35D3E">
      <w:pPr>
        <w:pStyle w:val="a4"/>
      </w:pPr>
      <w:r>
        <w:t>УСЛОВИЯ ОПЛАТЫ, ОТМЕНЫ И ВОЗВРАТА ДЕНЕЖНЫХ СРЕДСТВ сервиса «Капсула времени»</w:t>
      </w:r>
    </w:p>
    <w:p w14:paraId="47FE87E1" w14:textId="12F2F9F1" w:rsidR="000F61B8" w:rsidRDefault="00A35D3E">
      <w:pPr>
        <w:pStyle w:val="FirstParagraph"/>
      </w:pPr>
      <w:r>
        <w:t>Редакция от «</w:t>
      </w:r>
      <w:r w:rsidR="0011120E">
        <w:t>30</w:t>
      </w:r>
      <w:r>
        <w:t xml:space="preserve">» </w:t>
      </w:r>
      <w:r w:rsidR="0011120E">
        <w:t xml:space="preserve">Августа </w:t>
      </w:r>
      <w:r>
        <w:t>20</w:t>
      </w:r>
      <w:r w:rsidR="0011120E">
        <w:t>26</w:t>
      </w:r>
      <w:r>
        <w:t xml:space="preserve"> г. Являются неотъемлемой частью Публичной оферты.</w:t>
      </w:r>
    </w:p>
    <w:p w14:paraId="0AAF9D68" w14:textId="77777777" w:rsidR="000F61B8" w:rsidRPr="009E3ECA" w:rsidRDefault="00A35D3E">
      <w:pPr>
        <w:pStyle w:val="2"/>
        <w:rPr>
          <w:b/>
          <w:bCs w:val="0"/>
        </w:rPr>
      </w:pPr>
      <w:bookmarkStart w:id="0" w:name="общие-положения"/>
      <w:r w:rsidRPr="009E3ECA">
        <w:rPr>
          <w:b/>
          <w:bCs w:val="0"/>
        </w:rPr>
        <w:t>1. Общие положения</w:t>
      </w:r>
    </w:p>
    <w:p w14:paraId="0E364A05" w14:textId="77777777" w:rsidR="000F61B8" w:rsidRDefault="00A35D3E">
      <w:pPr>
        <w:pStyle w:val="FirstParagraph"/>
      </w:pPr>
      <w:r>
        <w:t>1.1. Настоящие Условия определяют порядок оплаты услуг, последствия отмены Послания и удаления Капсулы, а также порядок и размер возврата денежных средств при отказе Заказчика от исполнения договора.</w:t>
      </w:r>
    </w:p>
    <w:p w14:paraId="53C24DE0" w14:textId="77777777" w:rsidR="000F61B8" w:rsidRDefault="00A35D3E">
      <w:pPr>
        <w:pStyle w:val="a0"/>
      </w:pPr>
      <w:r>
        <w:t>1.2. Термины, применяемые в настоящих Условиях, используются в значениях, определённых Пользовательским соглашением и Публичной офертой.</w:t>
      </w:r>
    </w:p>
    <w:p w14:paraId="60325CB8" w14:textId="77777777" w:rsidR="000F61B8" w:rsidRDefault="00A35D3E">
      <w:pPr>
        <w:pStyle w:val="a0"/>
      </w:pPr>
      <w:r>
        <w:t>1.3. Настоящие Условия применяются с учётом того, что Заказчик, приобретающий услуги для личных нужд, не связанных с осуществлением предпринимательской деятельности, обладает правами, предусмотренными законодательством о защите прав потребителей, и что условия договора, ущемляющие эти права, ничтожны</w:t>
      </w:r>
      <w:r>
        <w:rPr>
          <w:rStyle w:val="ac"/>
        </w:rPr>
        <w:footnoteReference w:id="1"/>
      </w:r>
      <w:r>
        <w:t>.</w:t>
      </w:r>
    </w:p>
    <w:p w14:paraId="071BF097" w14:textId="77777777" w:rsidR="000F61B8" w:rsidRPr="009E3ECA" w:rsidRDefault="00A35D3E">
      <w:pPr>
        <w:pStyle w:val="2"/>
        <w:rPr>
          <w:b/>
          <w:bCs w:val="0"/>
        </w:rPr>
      </w:pPr>
      <w:bookmarkStart w:id="1" w:name="порядок-оплаты"/>
      <w:bookmarkEnd w:id="0"/>
      <w:r w:rsidRPr="009E3ECA">
        <w:rPr>
          <w:b/>
          <w:bCs w:val="0"/>
        </w:rPr>
        <w:t>2. Порядок оплаты</w:t>
      </w:r>
    </w:p>
    <w:p w14:paraId="55E979FD" w14:textId="77777777" w:rsidR="000F61B8" w:rsidRDefault="00A35D3E">
      <w:pPr>
        <w:pStyle w:val="FirstParagraph"/>
      </w:pPr>
      <w:r>
        <w:t>2.1. Оплата производится единовременно в размере ста процентов стоимости выбранного тарифа до начала оказания услуг.</w:t>
      </w:r>
    </w:p>
    <w:p w14:paraId="78F9D465" w14:textId="77777777" w:rsidR="000F61B8" w:rsidRDefault="00A35D3E">
      <w:pPr>
        <w:pStyle w:val="a0"/>
      </w:pPr>
      <w:r>
        <w:t>2.2. Оплата производится безналичным способом с использованием платёжных сервисов, интегрированных в Сервис. Обязательство по оплате считается исполненным с момента зачисления денежных средств на расчётный счёт Исполнителя.</w:t>
      </w:r>
    </w:p>
    <w:p w14:paraId="23561FB4" w14:textId="77777777" w:rsidR="000F61B8" w:rsidRDefault="00A35D3E">
      <w:pPr>
        <w:pStyle w:val="a0"/>
      </w:pPr>
      <w:r>
        <w:t>2.3. Исполнитель направляет Заказчику кассовый чек в электронной форме на указанный Заказчиком адрес электронной почты либо номер телефона.</w:t>
      </w:r>
    </w:p>
    <w:p w14:paraId="3A0AFD5B" w14:textId="77777777" w:rsidR="000F61B8" w:rsidRDefault="00A35D3E">
      <w:pPr>
        <w:pStyle w:val="a0"/>
      </w:pPr>
      <w:r>
        <w:t>2.4. Срок хранения исчисляется со дня зачисления оплаты. Услуги начинают оказываться с этого же дня.</w:t>
      </w:r>
    </w:p>
    <w:p w14:paraId="52A6520A" w14:textId="77777777" w:rsidR="000F61B8" w:rsidRDefault="00A35D3E">
      <w:pPr>
        <w:pStyle w:val="a0"/>
      </w:pPr>
      <w:r>
        <w:t>2.5. Продление Срока хранения производится путём внесения дополнительной оплаты по тарифам, действующим на дату продления. Продление возможно до истечения текущего Срока хранения.</w:t>
      </w:r>
    </w:p>
    <w:p w14:paraId="51A63C7F" w14:textId="77777777" w:rsidR="000F61B8" w:rsidRPr="009E3ECA" w:rsidRDefault="00A35D3E">
      <w:pPr>
        <w:pStyle w:val="2"/>
        <w:rPr>
          <w:b/>
          <w:bCs w:val="0"/>
        </w:rPr>
      </w:pPr>
      <w:bookmarkStart w:id="2" w:name="экономическое-существо-платежа"/>
      <w:bookmarkEnd w:id="1"/>
      <w:r w:rsidRPr="009E3ECA">
        <w:rPr>
          <w:b/>
          <w:bCs w:val="0"/>
        </w:rPr>
        <w:t>3. Экономическое существо платежа</w:t>
      </w:r>
    </w:p>
    <w:p w14:paraId="716BBF6E" w14:textId="77777777" w:rsidR="000F61B8" w:rsidRDefault="00A35D3E">
      <w:pPr>
        <w:pStyle w:val="FirstParagraph"/>
      </w:pPr>
      <w:r>
        <w:t>3.1. Стоимость услуг является платой за готовность Исполнителя в течение всего Срока хранения обеспечивать сохранность Послания, поддерживать техническую готовность к его передаче и совершать предусмотренные договором уведомительные действия. Такая плата вносится независимо от того, было ли фактически затребовано исполнение и состоялась ли доставка</w:t>
      </w:r>
      <w:r>
        <w:rPr>
          <w:rStyle w:val="ac"/>
        </w:rPr>
        <w:footnoteReference w:id="2"/>
      </w:r>
      <w:r>
        <w:t>.</w:t>
      </w:r>
    </w:p>
    <w:p w14:paraId="4D9BE35C" w14:textId="77777777" w:rsidR="000F61B8" w:rsidRDefault="00A35D3E">
      <w:pPr>
        <w:pStyle w:val="a0"/>
      </w:pPr>
      <w:r>
        <w:t xml:space="preserve">3.2. Расходы Исполнителя, связанные с исполнением договора, возникают преимущественно в момент заключения договора и в первые дни оказания услуг. К ним относятся комиссия банка-эквайера и платёжного агрегатора, расходы на применение контрольно-кассовой техники и услуги оператора фискальных данных, налоговые платежи, исчисленные с полученного дохода, стоимость резервирования объёма облачного хранилища на весь выбранный Срок хранения, оплачиваемая Исполнителем провайдеру авансом, расходы на приём, шифрование </w:t>
      </w:r>
      <w:r>
        <w:t>и размещение файла, а также расходы на настройку графика уведомлений.</w:t>
      </w:r>
    </w:p>
    <w:p w14:paraId="706E18C2" w14:textId="77777777" w:rsidR="000F61B8" w:rsidRDefault="00A35D3E">
      <w:pPr>
        <w:pStyle w:val="a0"/>
      </w:pPr>
      <w:r>
        <w:t>3.3. Стороны согласовали размеры удержаний, установленные разделом 5 настоящих Условий, в качестве заранее определённого размера фактически понесённых Исполнителем расходов. Если фактические расходы Исполнителя окажутся меньше согласованного размера удержания, Заказчик вправе потребовать возврата разницы, а Исполнитель обязан либо возвратить её, либо представить документальное обоснование фактически понесённых расходов в течение десяти рабочих дней со дня получения такого требования.</w:t>
      </w:r>
    </w:p>
    <w:p w14:paraId="4AB8D099" w14:textId="77777777" w:rsidR="000F61B8" w:rsidRPr="009E3ECA" w:rsidRDefault="00A35D3E">
      <w:pPr>
        <w:pStyle w:val="2"/>
        <w:rPr>
          <w:b/>
          <w:bCs w:val="0"/>
        </w:rPr>
      </w:pPr>
      <w:bookmarkStart w:id="3" w:name="отмена-послания-и-удаление-капсулы"/>
      <w:bookmarkEnd w:id="2"/>
      <w:r w:rsidRPr="009E3ECA">
        <w:rPr>
          <w:b/>
          <w:bCs w:val="0"/>
        </w:rPr>
        <w:t>4. Отмена Послания и удаление Капсулы</w:t>
      </w:r>
    </w:p>
    <w:p w14:paraId="2F275CAB" w14:textId="77777777" w:rsidR="000F61B8" w:rsidRDefault="00A35D3E">
      <w:pPr>
        <w:pStyle w:val="FirstParagraph"/>
      </w:pPr>
      <w:r>
        <w:t>4.1. Отмена Послания без расторжения договора означает, что доставка Послания Получателю не производится, при этом услуга хранения и поддержания технической готовности продолжает оказываться до истечения Срока хранения. Отмена Послания не влечёт возврата денежных средств. Заказчик вправе в любое время до истечения Срока хранения возобновить Послание или указать нового Получателя.</w:t>
      </w:r>
    </w:p>
    <w:p w14:paraId="141AD2DB" w14:textId="77777777" w:rsidR="000F61B8" w:rsidRDefault="00A35D3E">
      <w:pPr>
        <w:pStyle w:val="a0"/>
      </w:pPr>
      <w:r>
        <w:t>4.2. Удаление Капсулы означает необратимое уничтожение Послания по инициативе Заказчика. Удаление Капсулы приравнивается к отказу Заказчика от исполнения договора и влечёт последствия, установленные разделом 5 настоящих Условий.</w:t>
      </w:r>
    </w:p>
    <w:p w14:paraId="6417E104" w14:textId="77777777" w:rsidR="000F61B8" w:rsidRDefault="00A35D3E">
      <w:pPr>
        <w:pStyle w:val="a0"/>
      </w:pPr>
      <w:r>
        <w:t>4.3. Неполучение Послания Получателем, отказ Получателя от просмотра, отзыв Получателем согласия на обработку персональных данных, смерть Получателя, а равно непредоставление подтверждения Доверенным лицом не являются неоказанием услуг и не влекут возврата денежных средств, поскольку услуга хранения и поддержания технической готовности была оказана надлежащим образом.</w:t>
      </w:r>
    </w:p>
    <w:p w14:paraId="03203EE8" w14:textId="77777777" w:rsidR="000F61B8" w:rsidRPr="009E3ECA" w:rsidRDefault="00A35D3E">
      <w:pPr>
        <w:pStyle w:val="2"/>
        <w:rPr>
          <w:b/>
          <w:bCs w:val="0"/>
        </w:rPr>
      </w:pPr>
      <w:bookmarkStart w:id="4" w:name="X92e38bf841f0b5cc72100da79b8a9d6c56afdba"/>
      <w:bookmarkEnd w:id="3"/>
      <w:r w:rsidRPr="009E3ECA">
        <w:rPr>
          <w:b/>
          <w:bCs w:val="0"/>
        </w:rPr>
        <w:t>5. Отказ Заказчика от исполнения договора и размер возврата</w:t>
      </w:r>
    </w:p>
    <w:p w14:paraId="071A05B4" w14:textId="77777777" w:rsidR="000F61B8" w:rsidRDefault="00A35D3E">
      <w:pPr>
        <w:pStyle w:val="FirstParagraph"/>
      </w:pPr>
      <w:r>
        <w:t>5.1. Заказчик вправе в любое время отказаться от исполнения договора при условии оплаты Исполнителю фактически понесённых им расходов</w:t>
      </w:r>
      <w:r>
        <w:rPr>
          <w:rStyle w:val="ac"/>
        </w:rPr>
        <w:footnoteReference w:id="3"/>
      </w:r>
      <w:r>
        <w:t>.</w:t>
      </w:r>
    </w:p>
    <w:p w14:paraId="0C597F72" w14:textId="77777777" w:rsidR="000F61B8" w:rsidRDefault="00A35D3E">
      <w:pPr>
        <w:pStyle w:val="a0"/>
      </w:pPr>
      <w:r>
        <w:t>5.2. Размер денежных средств, подлежащих возврату при отказе Заказчика от исполнения договора, определяется в зависимости от стадии оказания услуг:</w:t>
      </w:r>
    </w:p>
    <w:tbl>
      <w:tblPr>
        <w:tblStyle w:val="Table"/>
        <w:tblW w:w="5000" w:type="pct"/>
        <w:tblLook w:val="0020" w:firstRow="1" w:lastRow="0" w:firstColumn="0" w:lastColumn="0" w:noHBand="0" w:noVBand="0"/>
      </w:tblPr>
      <w:tblGrid>
        <w:gridCol w:w="3786"/>
        <w:gridCol w:w="3972"/>
        <w:gridCol w:w="1931"/>
      </w:tblGrid>
      <w:tr w:rsidR="000F61B8" w14:paraId="61150DE5" w14:textId="77777777" w:rsidTr="000F61B8">
        <w:trPr>
          <w:cnfStyle w:val="100000000000" w:firstRow="1" w:lastRow="0" w:firstColumn="0" w:lastColumn="0" w:oddVBand="0" w:evenVBand="0" w:oddHBand="0" w:evenHBand="0" w:firstRowFirstColumn="0" w:firstRowLastColumn="0" w:lastRowFirstColumn="0" w:lastRowLastColumn="0"/>
          <w:tblHeader/>
        </w:trPr>
        <w:tc>
          <w:tcPr>
            <w:tcW w:w="0" w:type="auto"/>
          </w:tcPr>
          <w:p w14:paraId="607AF399" w14:textId="77777777" w:rsidR="000F61B8" w:rsidRDefault="00A35D3E">
            <w:pPr>
              <w:pStyle w:val="Compact"/>
              <w:jc w:val="left"/>
            </w:pPr>
            <w:r>
              <w:t>Стадия оказания услуг на дату получения отказа</w:t>
            </w:r>
          </w:p>
        </w:tc>
        <w:tc>
          <w:tcPr>
            <w:tcW w:w="0" w:type="auto"/>
          </w:tcPr>
          <w:p w14:paraId="67E01232" w14:textId="77777777" w:rsidR="000F61B8" w:rsidRDefault="00A35D3E">
            <w:pPr>
              <w:pStyle w:val="Compact"/>
              <w:jc w:val="left"/>
            </w:pPr>
            <w:r>
              <w:t>Размер удержания</w:t>
            </w:r>
          </w:p>
        </w:tc>
        <w:tc>
          <w:tcPr>
            <w:tcW w:w="0" w:type="auto"/>
          </w:tcPr>
          <w:p w14:paraId="1A26E467" w14:textId="77777777" w:rsidR="000F61B8" w:rsidRDefault="00A35D3E">
            <w:pPr>
              <w:pStyle w:val="Compact"/>
              <w:jc w:val="left"/>
            </w:pPr>
            <w:r>
              <w:t>Размер возврата</w:t>
            </w:r>
          </w:p>
        </w:tc>
      </w:tr>
      <w:tr w:rsidR="000F61B8" w14:paraId="0BCA4904" w14:textId="77777777">
        <w:tc>
          <w:tcPr>
            <w:tcW w:w="0" w:type="auto"/>
          </w:tcPr>
          <w:p w14:paraId="7FC2F928" w14:textId="77777777" w:rsidR="000F61B8" w:rsidRDefault="00A35D3E">
            <w:pPr>
              <w:pStyle w:val="Compact"/>
              <w:jc w:val="left"/>
            </w:pPr>
            <w:r>
              <w:t>Оплата произведена, Послание не загружено, с момента оплаты прошло не более 24 часов</w:t>
            </w:r>
          </w:p>
        </w:tc>
        <w:tc>
          <w:tcPr>
            <w:tcW w:w="0" w:type="auto"/>
          </w:tcPr>
          <w:p w14:paraId="75DD741B" w14:textId="77777777" w:rsidR="000F61B8" w:rsidRDefault="00A35D3E">
            <w:pPr>
              <w:pStyle w:val="Compact"/>
              <w:jc w:val="left"/>
            </w:pPr>
            <w:r>
              <w:t>Комиссия платёжных сервисов, фактически удержанная с Исполнителя</w:t>
            </w:r>
          </w:p>
        </w:tc>
        <w:tc>
          <w:tcPr>
            <w:tcW w:w="0" w:type="auto"/>
          </w:tcPr>
          <w:p w14:paraId="4BBC2452" w14:textId="77777777" w:rsidR="000F61B8" w:rsidRDefault="00A35D3E">
            <w:pPr>
              <w:pStyle w:val="Compact"/>
              <w:jc w:val="left"/>
            </w:pPr>
            <w:r>
              <w:t>Оплата за вычетом комиссии</w:t>
            </w:r>
          </w:p>
        </w:tc>
      </w:tr>
      <w:tr w:rsidR="000F61B8" w14:paraId="7B30ADBE" w14:textId="77777777">
        <w:tc>
          <w:tcPr>
            <w:tcW w:w="0" w:type="auto"/>
          </w:tcPr>
          <w:p w14:paraId="6A5FCF27" w14:textId="77777777" w:rsidR="000F61B8" w:rsidRDefault="00A35D3E">
            <w:pPr>
              <w:pStyle w:val="Compact"/>
              <w:jc w:val="left"/>
            </w:pPr>
            <w:r>
              <w:t>Оплата произведена, Послание не загружено, с момента оплаты прошло более 24 часов и не более 14 календарных дней</w:t>
            </w:r>
          </w:p>
        </w:tc>
        <w:tc>
          <w:tcPr>
            <w:tcW w:w="0" w:type="auto"/>
          </w:tcPr>
          <w:p w14:paraId="789B0DEA" w14:textId="77777777" w:rsidR="000F61B8" w:rsidRDefault="00A35D3E">
            <w:pPr>
              <w:pStyle w:val="Compact"/>
              <w:jc w:val="left"/>
            </w:pPr>
            <w:r>
              <w:t>15 процентов стоимости</w:t>
            </w:r>
          </w:p>
        </w:tc>
        <w:tc>
          <w:tcPr>
            <w:tcW w:w="0" w:type="auto"/>
          </w:tcPr>
          <w:p w14:paraId="6F71C8C9" w14:textId="77777777" w:rsidR="000F61B8" w:rsidRDefault="00A35D3E">
            <w:pPr>
              <w:pStyle w:val="Compact"/>
              <w:jc w:val="left"/>
            </w:pPr>
            <w:r>
              <w:t>85 процентов стоимости</w:t>
            </w:r>
          </w:p>
        </w:tc>
      </w:tr>
      <w:tr w:rsidR="000F61B8" w14:paraId="52E393DE" w14:textId="77777777">
        <w:tc>
          <w:tcPr>
            <w:tcW w:w="0" w:type="auto"/>
          </w:tcPr>
          <w:p w14:paraId="1586536D" w14:textId="77777777" w:rsidR="000F61B8" w:rsidRDefault="00A35D3E">
            <w:pPr>
              <w:pStyle w:val="Compact"/>
              <w:jc w:val="left"/>
            </w:pPr>
            <w:r>
              <w:t>Послание загружено, первое Контрольное уведомление не направлено</w:t>
            </w:r>
          </w:p>
        </w:tc>
        <w:tc>
          <w:tcPr>
            <w:tcW w:w="0" w:type="auto"/>
          </w:tcPr>
          <w:p w14:paraId="5D3B4ABF" w14:textId="77777777" w:rsidR="000F61B8" w:rsidRDefault="00A35D3E">
            <w:pPr>
              <w:pStyle w:val="Compact"/>
              <w:jc w:val="left"/>
            </w:pPr>
            <w:r>
              <w:t>40 процентов стоимости, но не менее суммы авансированных Исполнителем платежей за резервирование хранилища</w:t>
            </w:r>
          </w:p>
        </w:tc>
        <w:tc>
          <w:tcPr>
            <w:tcW w:w="0" w:type="auto"/>
          </w:tcPr>
          <w:p w14:paraId="46AF6C89" w14:textId="77777777" w:rsidR="000F61B8" w:rsidRDefault="00A35D3E">
            <w:pPr>
              <w:pStyle w:val="Compact"/>
              <w:jc w:val="left"/>
            </w:pPr>
            <w:r>
              <w:t>Оставшаяся часть стоимости</w:t>
            </w:r>
          </w:p>
        </w:tc>
      </w:tr>
      <w:tr w:rsidR="000F61B8" w14:paraId="246740F6" w14:textId="77777777">
        <w:tc>
          <w:tcPr>
            <w:tcW w:w="0" w:type="auto"/>
          </w:tcPr>
          <w:p w14:paraId="7FAC8C27" w14:textId="77777777" w:rsidR="000F61B8" w:rsidRDefault="00A35D3E">
            <w:pPr>
              <w:pStyle w:val="Compact"/>
              <w:jc w:val="left"/>
            </w:pPr>
            <w:r>
              <w:t>Направлено хотя бы одно Контрольное уведомление, Активация доставки не наступила</w:t>
            </w:r>
          </w:p>
        </w:tc>
        <w:tc>
          <w:tcPr>
            <w:tcW w:w="0" w:type="auto"/>
          </w:tcPr>
          <w:p w14:paraId="1989B293" w14:textId="77777777" w:rsidR="000F61B8" w:rsidRDefault="00A35D3E">
            <w:pPr>
              <w:pStyle w:val="Compact"/>
              <w:jc w:val="left"/>
            </w:pPr>
            <w:r>
              <w:t>70 процентов стоимости</w:t>
            </w:r>
          </w:p>
        </w:tc>
        <w:tc>
          <w:tcPr>
            <w:tcW w:w="0" w:type="auto"/>
          </w:tcPr>
          <w:p w14:paraId="5294755D" w14:textId="77777777" w:rsidR="000F61B8" w:rsidRDefault="00A35D3E">
            <w:pPr>
              <w:pStyle w:val="Compact"/>
              <w:jc w:val="left"/>
            </w:pPr>
            <w:r>
              <w:t>30 процентов стоимости</w:t>
            </w:r>
          </w:p>
        </w:tc>
      </w:tr>
      <w:tr w:rsidR="000F61B8" w14:paraId="34A214B9" w14:textId="77777777">
        <w:tc>
          <w:tcPr>
            <w:tcW w:w="0" w:type="auto"/>
          </w:tcPr>
          <w:p w14:paraId="2833DE7B" w14:textId="77777777" w:rsidR="000F61B8" w:rsidRDefault="00A35D3E">
            <w:pPr>
              <w:pStyle w:val="Compact"/>
              <w:jc w:val="left"/>
            </w:pPr>
            <w:r>
              <w:t>Наступила Активация доставки, Получателю направлено уведомление</w:t>
            </w:r>
          </w:p>
        </w:tc>
        <w:tc>
          <w:tcPr>
            <w:tcW w:w="0" w:type="auto"/>
          </w:tcPr>
          <w:p w14:paraId="68EAE89A" w14:textId="77777777" w:rsidR="000F61B8" w:rsidRDefault="00A35D3E">
            <w:pPr>
              <w:pStyle w:val="Compact"/>
              <w:jc w:val="left"/>
            </w:pPr>
            <w:r>
              <w:t>100 процентов стоимости</w:t>
            </w:r>
          </w:p>
        </w:tc>
        <w:tc>
          <w:tcPr>
            <w:tcW w:w="0" w:type="auto"/>
          </w:tcPr>
          <w:p w14:paraId="16EA4692" w14:textId="77777777" w:rsidR="000F61B8" w:rsidRDefault="00A35D3E">
            <w:pPr>
              <w:pStyle w:val="Compact"/>
              <w:jc w:val="left"/>
            </w:pPr>
            <w:r>
              <w:t>Возврат не производится</w:t>
            </w:r>
          </w:p>
        </w:tc>
      </w:tr>
    </w:tbl>
    <w:p w14:paraId="4901D433" w14:textId="77777777" w:rsidR="000F61B8" w:rsidRDefault="00A35D3E">
      <w:pPr>
        <w:pStyle w:val="a0"/>
      </w:pPr>
      <w:r>
        <w:t>5.3. Отказ от исполнения договора оформляется заявлением Заказчика, направленным по адресу электронной почты Исполнителя либо через соответствующую функцию в интерфейсе Сервиса. Заявление должно содержать сведения, позволяющие идентифицировать Заказчика и Капсулу, а также банковские реквизиты для возврата, если возврат на реквизиты первоначального платежа невозможен.</w:t>
      </w:r>
    </w:p>
    <w:p w14:paraId="66367DF2" w14:textId="77777777" w:rsidR="000F61B8" w:rsidRDefault="00A35D3E">
      <w:pPr>
        <w:pStyle w:val="a0"/>
      </w:pPr>
      <w:r>
        <w:t>5.4. Датой отказа считается дата поступления заявления Исполнителю.</w:t>
      </w:r>
    </w:p>
    <w:p w14:paraId="538A8973" w14:textId="77777777" w:rsidR="000F61B8" w:rsidRDefault="00A35D3E">
      <w:pPr>
        <w:pStyle w:val="a0"/>
      </w:pPr>
      <w:r>
        <w:t>5.5. Возврат производится тем же способом, которым была произведена оплата, в течение десяти рабочих дней со дня получения заявления. При невозможности возврата первоначальным способом возврат производится по банковским реквизитам, указанным Заказчиком.</w:t>
      </w:r>
    </w:p>
    <w:p w14:paraId="04C7E722" w14:textId="77777777" w:rsidR="000F61B8" w:rsidRDefault="00A35D3E">
      <w:pPr>
        <w:pStyle w:val="a0"/>
      </w:pPr>
      <w:r>
        <w:t>5.6. При возврате Исполнитель формирует кассовый чек с признаком расчёта «возврат прихода».</w:t>
      </w:r>
    </w:p>
    <w:p w14:paraId="03FABB7A" w14:textId="77777777" w:rsidR="000F61B8" w:rsidRPr="009E3ECA" w:rsidRDefault="00A35D3E">
      <w:pPr>
        <w:pStyle w:val="2"/>
        <w:rPr>
          <w:b/>
          <w:bCs w:val="0"/>
        </w:rPr>
      </w:pPr>
      <w:bookmarkStart w:id="5" w:name="X793ab68d9a05123b09978be694fdb324e72c1e6"/>
      <w:bookmarkEnd w:id="4"/>
      <w:r w:rsidRPr="009E3ECA">
        <w:rPr>
          <w:b/>
          <w:bCs w:val="0"/>
        </w:rPr>
        <w:t>6. Возврат при обстоятельствах на стороне Исполнителя</w:t>
      </w:r>
    </w:p>
    <w:p w14:paraId="44F6ECAB" w14:textId="77777777" w:rsidR="000F61B8" w:rsidRDefault="00A35D3E">
      <w:pPr>
        <w:pStyle w:val="FirstParagraph"/>
      </w:pPr>
      <w:r>
        <w:t>6.1. Если Послание утрачено или повреждено по причинам, зависящим от Исполнителя, и доставка стала невозможной, Заказчику возвращается вся уплаченная сумма без каких-либо удержаний.</w:t>
      </w:r>
    </w:p>
    <w:p w14:paraId="4FE2428C" w14:textId="77777777" w:rsidR="000F61B8" w:rsidRDefault="00A35D3E">
      <w:pPr>
        <w:pStyle w:val="a0"/>
      </w:pPr>
      <w:r>
        <w:t>6.2. Если Исполнитель не направил Получателю уведомление при наступлении условий Активации доставки по причинам, зависящим от Исполнителя, Заказчику или его наследникам возвращается вся уплаченная сумма без удержаний.</w:t>
      </w:r>
    </w:p>
    <w:p w14:paraId="361FDA50" w14:textId="77777777" w:rsidR="000F61B8" w:rsidRDefault="00A35D3E">
      <w:pPr>
        <w:pStyle w:val="a0"/>
      </w:pPr>
      <w:r>
        <w:t>6.3. Если Исполнитель прекращает оказание услуг до истечения Срока хранения по собственной инициативе, включая прекращение деятельности Сервиса, Исполнитель уведомляет Заказчика не позднее чем за шестьдесят календарных дней, обеспечивает Заказчику возможность самостоятельно выгрузить Послание и возвращает денежные средства пропорционально неистёкшей части Срока хранения без каких-либо удержаний.</w:t>
      </w:r>
    </w:p>
    <w:p w14:paraId="4B971B78" w14:textId="77777777" w:rsidR="000F61B8" w:rsidRPr="009E3ECA" w:rsidRDefault="00A35D3E">
      <w:pPr>
        <w:pStyle w:val="2"/>
        <w:rPr>
          <w:b/>
          <w:bCs w:val="0"/>
        </w:rPr>
      </w:pPr>
      <w:bookmarkStart w:id="6" w:name="отказ-исполнителя-от-исполнения-договора"/>
      <w:bookmarkEnd w:id="5"/>
      <w:r w:rsidRPr="009E3ECA">
        <w:rPr>
          <w:b/>
          <w:bCs w:val="0"/>
        </w:rPr>
        <w:t>7. Отказ Исполнителя от исполнения договора</w:t>
      </w:r>
    </w:p>
    <w:p w14:paraId="7F05AC86" w14:textId="77777777" w:rsidR="000F61B8" w:rsidRDefault="00A35D3E">
      <w:pPr>
        <w:pStyle w:val="FirstParagraph"/>
      </w:pPr>
      <w:r>
        <w:t>7.1. При подтверждённом нарушении Заказчиком Правил допустимого содержания Исполнитель вправе отказаться от исполнения договора и удалить Послание.</w:t>
      </w:r>
    </w:p>
    <w:p w14:paraId="17B87A08" w14:textId="77777777" w:rsidR="000F61B8" w:rsidRDefault="00A35D3E">
      <w:pPr>
        <w:pStyle w:val="a0"/>
      </w:pPr>
      <w:r>
        <w:t>7.2. В случае, предусмотренном пунктом 7.1, возврату подлежит часть стоимости, пропорциональная неистёкшей части Срока хранения, за вычетом расходов, понесённых Исполнителем в связи с рассмотрением жалобы, блокированием доступа и исполнением требований уполномоченных органов. Размер таких расходов подтверждается документально по требованию Заказчика.</w:t>
      </w:r>
    </w:p>
    <w:p w14:paraId="1B2E4738" w14:textId="77777777" w:rsidR="000F61B8" w:rsidRDefault="00A35D3E">
      <w:pPr>
        <w:pStyle w:val="a0"/>
      </w:pPr>
      <w:r>
        <w:t>7.3. Если нарушение Правил допустимого содержания повлекло привлечение Исполнителя к административной или иной ответственности либо предъявление к нему требований третьих лиц, Исполнитель вправе удержать причитающиеся Заказчику суммы в счёт возмещения соответствующих имущественных потерь в порядке, установленном Пользовательским соглашением.</w:t>
      </w:r>
    </w:p>
    <w:p w14:paraId="596EFFAA" w14:textId="77777777" w:rsidR="000F61B8" w:rsidRDefault="00A35D3E">
      <w:pPr>
        <w:pStyle w:val="a0"/>
      </w:pPr>
      <w:r>
        <w:t>7.4. При предоставлении Заказчиком недостоверных заверений об обстоятельствах Исполнитель вправе отказаться от исполнения договора с последствиями, установленными пунктом 7.2 настоящих Условий.</w:t>
      </w:r>
    </w:p>
    <w:p w14:paraId="1253122C" w14:textId="77777777" w:rsidR="000F61B8" w:rsidRPr="009E3ECA" w:rsidRDefault="00A35D3E">
      <w:pPr>
        <w:pStyle w:val="2"/>
        <w:rPr>
          <w:b/>
          <w:bCs w:val="0"/>
        </w:rPr>
      </w:pPr>
      <w:bookmarkStart w:id="7" w:name="рассмотрение-обращений-о-возврате"/>
      <w:bookmarkEnd w:id="6"/>
      <w:r w:rsidRPr="009E3ECA">
        <w:rPr>
          <w:b/>
          <w:bCs w:val="0"/>
        </w:rPr>
        <w:t>8. Рассмотрение обращений о возврате</w:t>
      </w:r>
    </w:p>
    <w:p w14:paraId="17ECEDAA" w14:textId="77777777" w:rsidR="000F61B8" w:rsidRDefault="00A35D3E">
      <w:pPr>
        <w:pStyle w:val="FirstParagraph"/>
      </w:pPr>
      <w:r>
        <w:t>8.1. Обращения по вопросам оплаты и возврата направляются по адресу электронной почты Исполнителя, указанному в Публичной оферте.</w:t>
      </w:r>
    </w:p>
    <w:p w14:paraId="776657C4" w14:textId="77777777" w:rsidR="000F61B8" w:rsidRDefault="00A35D3E">
      <w:pPr>
        <w:pStyle w:val="a0"/>
      </w:pPr>
      <w:r>
        <w:t>8.2. Исполнитель рассматривает обращение и направляет мотивированный ответ в течение десяти рабочих дней со дня его получения.</w:t>
      </w:r>
    </w:p>
    <w:p w14:paraId="2C41DF35" w14:textId="77777777" w:rsidR="000F61B8" w:rsidRDefault="00A35D3E">
      <w:pPr>
        <w:pStyle w:val="a0"/>
      </w:pPr>
      <w:r>
        <w:t>8.3. При отказе в возврате Исполнитель указывает основание отказа и представляет расчёт удержанных сумм.</w:t>
      </w:r>
    </w:p>
    <w:p w14:paraId="761CC865" w14:textId="77777777" w:rsidR="000F61B8" w:rsidRDefault="00A35D3E">
      <w:pPr>
        <w:pStyle w:val="a0"/>
      </w:pPr>
      <w:r>
        <w:t>8.4. Заказчик вправе обжаловать решение Исполнителя в судебном порядке. Подсудность споров с участием Заказчика-потребителя определяется по правилам законодательства о защите прав потребителей.</w:t>
      </w:r>
    </w:p>
    <w:p w14:paraId="4940CA38" w14:textId="77777777" w:rsidR="000F61B8" w:rsidRPr="009E3ECA" w:rsidRDefault="00A35D3E">
      <w:pPr>
        <w:pStyle w:val="2"/>
        <w:rPr>
          <w:b/>
          <w:bCs w:val="0"/>
        </w:rPr>
      </w:pPr>
      <w:bookmarkStart w:id="8" w:name="наследники-заказчика"/>
      <w:bookmarkEnd w:id="7"/>
      <w:r w:rsidRPr="009E3ECA">
        <w:rPr>
          <w:b/>
          <w:bCs w:val="0"/>
        </w:rPr>
        <w:t>9. Наследники Заказчика</w:t>
      </w:r>
    </w:p>
    <w:p w14:paraId="559AA607" w14:textId="77777777" w:rsidR="000F61B8" w:rsidRDefault="00A35D3E">
      <w:pPr>
        <w:pStyle w:val="FirstParagraph"/>
      </w:pPr>
      <w:r>
        <w:t>9.1. Права требования Заказчика, вытекающие из настоящего договора и не переданные Получателю, входят в состав наследства.</w:t>
      </w:r>
    </w:p>
    <w:p w14:paraId="28E032A9" w14:textId="77777777" w:rsidR="000F61B8" w:rsidRDefault="00A35D3E">
      <w:pPr>
        <w:pStyle w:val="a0"/>
      </w:pPr>
      <w:r>
        <w:t>9.2. Наследник Заказчика вправе заявить требование о возврате денежных средств, предъявив свидетельство о праве на наследство. Размер возврата определяется по правилам раздела 5 настоящих Условий исходя из стадии оказания услуг на дату получения требования.</w:t>
      </w:r>
    </w:p>
    <w:p w14:paraId="3C044840" w14:textId="77777777" w:rsidR="000F61B8" w:rsidRDefault="00A35D3E">
      <w:pPr>
        <w:pStyle w:val="a0"/>
      </w:pPr>
      <w:r>
        <w:t>9.3. Наследник Заказчика не вправе требовать выдачи ему копии Послания, изменения Получателя или Даты доставки, если иное не установлено вступившим в законную силу судебным актом.</w:t>
      </w:r>
      <w:bookmarkEnd w:id="8"/>
    </w:p>
    <w:sectPr w:rsidR="000F61B8">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B697C" w14:textId="77777777" w:rsidR="00941E1A" w:rsidRDefault="00941E1A">
      <w:pPr>
        <w:spacing w:after="0"/>
      </w:pPr>
      <w:r>
        <w:separator/>
      </w:r>
    </w:p>
  </w:endnote>
  <w:endnote w:type="continuationSeparator" w:id="0">
    <w:p w14:paraId="00624DA3" w14:textId="77777777" w:rsidR="00941E1A" w:rsidRDefault="00941E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07E57" w14:textId="77777777" w:rsidR="00941E1A" w:rsidRDefault="00941E1A">
      <w:r>
        <w:separator/>
      </w:r>
    </w:p>
  </w:footnote>
  <w:footnote w:type="continuationSeparator" w:id="0">
    <w:p w14:paraId="0EC88421" w14:textId="77777777" w:rsidR="00941E1A" w:rsidRDefault="00941E1A">
      <w:r>
        <w:continuationSeparator/>
      </w:r>
    </w:p>
  </w:footnote>
  <w:footnote w:id="1">
    <w:p w14:paraId="3BBF9B92" w14:textId="77777777" w:rsidR="000F61B8" w:rsidRDefault="00A35D3E">
      <w:pPr>
        <w:pStyle w:val="a9"/>
      </w:pPr>
      <w:r>
        <w:rPr>
          <w:rStyle w:val="ac"/>
        </w:rPr>
        <w:footnoteRef/>
      </w:r>
      <w:r>
        <w:t xml:space="preserve"> Пункт 1 статьи 16 Закона Российской Федерации от 07.02.1992 № 2300-1 «О защите прав потребителей».</w:t>
      </w:r>
    </w:p>
  </w:footnote>
  <w:footnote w:id="2">
    <w:p w14:paraId="40BFFBCB" w14:textId="77777777" w:rsidR="000F61B8" w:rsidRDefault="00A35D3E">
      <w:pPr>
        <w:pStyle w:val="a9"/>
      </w:pPr>
      <w:r>
        <w:rPr>
          <w:rStyle w:val="ac"/>
        </w:rPr>
        <w:footnoteRef/>
      </w:r>
      <w:r>
        <w:t xml:space="preserve"> Пункт 2 статьи 429.4 Гражданского кодекса Российской Федерации.</w:t>
      </w:r>
    </w:p>
  </w:footnote>
  <w:footnote w:id="3">
    <w:p w14:paraId="202B66BA" w14:textId="77777777" w:rsidR="000F61B8" w:rsidRDefault="00A35D3E">
      <w:pPr>
        <w:pStyle w:val="a9"/>
      </w:pPr>
      <w:r>
        <w:rPr>
          <w:rStyle w:val="ac"/>
        </w:rPr>
        <w:footnoteRef/>
      </w:r>
      <w:r>
        <w:t xml:space="preserve"> Статья 32 Закона Российской Федерации от 07.02.1992 № 2300-1 «О защите прав потребителей»; пункт 1 статьи 782 Гражданского кодекса Российской Федерации.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998EEA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835220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B8"/>
    <w:rsid w:val="000F61B8"/>
    <w:rsid w:val="0011120E"/>
    <w:rsid w:val="005B13A5"/>
    <w:rsid w:val="00922F2F"/>
    <w:rsid w:val="00941E1A"/>
    <w:rsid w:val="009E3ECA"/>
    <w:rsid w:val="00A35D3E"/>
    <w:rsid w:val="00F5670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97BD05"/>
  <w15:docId w15:val="{B662DB81-15E2-834B-A03E-66DB4ED1D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ru-RU" w:eastAsia="ru-RU" w:bidi="ar-SA"/>
      </w:rPr>
    </w:rPrDefault>
    <w:pPrDefault>
      <w:pPr>
        <w:spacing w:after="100"/>
        <w:jc w:val="both"/>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jc w:val="left"/>
      <w:outlineLvl w:val="0"/>
    </w:pPr>
    <w:rPr>
      <w:bCs/>
      <w:sz w:val="32"/>
      <w:szCs w:val="32"/>
    </w:rPr>
  </w:style>
  <w:style w:type="paragraph" w:styleId="2">
    <w:name w:val="heading 2"/>
    <w:basedOn w:val="a"/>
    <w:next w:val="a0"/>
    <w:uiPriority w:val="9"/>
    <w:unhideWhenUsed/>
    <w:qFormat/>
    <w:pPr>
      <w:keepNext/>
      <w:keepLines/>
      <w:spacing w:before="200" w:after="0"/>
      <w:jc w:val="left"/>
      <w:outlineLvl w:val="1"/>
    </w:pPr>
    <w:rPr>
      <w:bCs/>
      <w:sz w:val="28"/>
      <w:szCs w:val="28"/>
    </w:rPr>
  </w:style>
  <w:style w:type="paragraph" w:styleId="3">
    <w:name w:val="heading 3"/>
    <w:basedOn w:val="a"/>
    <w:next w:val="a0"/>
    <w:uiPriority w:val="9"/>
    <w:unhideWhenUsed/>
    <w:qFormat/>
    <w:pPr>
      <w:keepNext/>
      <w:keepLines/>
      <w:spacing w:before="200" w:after="0"/>
      <w:jc w:val="left"/>
      <w:outlineLvl w:val="2"/>
    </w:pPr>
    <w:rPr>
      <w:bCs/>
    </w:rPr>
  </w:style>
  <w:style w:type="paragraph" w:styleId="4">
    <w:name w:val="heading 4"/>
    <w:basedOn w:val="a"/>
    <w:next w:val="a0"/>
    <w:uiPriority w:val="9"/>
    <w:unhideWhenUsed/>
    <w:qFormat/>
    <w:pPr>
      <w:keepNext/>
      <w:keepLines/>
      <w:spacing w:before="200" w:after="0"/>
      <w:jc w:val="left"/>
      <w:outlineLvl w:val="3"/>
    </w:pPr>
    <w:rPr>
      <w:b/>
      <w:bCs/>
      <w:i/>
    </w:rPr>
  </w:style>
  <w:style w:type="paragraph" w:styleId="5">
    <w:name w:val="heading 5"/>
    <w:basedOn w:val="a"/>
    <w:next w:val="a0"/>
    <w:uiPriority w:val="9"/>
    <w:unhideWhenUsed/>
    <w:qFormat/>
    <w:pPr>
      <w:keepNext/>
      <w:keepLines/>
      <w:spacing w:before="200" w:after="0"/>
      <w:outlineLvl w:val="4"/>
    </w:pPr>
    <w:rPr>
      <w:iCs/>
    </w:rPr>
  </w:style>
  <w:style w:type="paragraph" w:styleId="6">
    <w:name w:val="heading 6"/>
    <w:basedOn w:val="a"/>
    <w:next w:val="a0"/>
    <w:uiPriority w:val="9"/>
    <w:unhideWhenUsed/>
    <w:qFormat/>
    <w:pPr>
      <w:keepNext/>
      <w:keepLines/>
      <w:spacing w:before="200" w:after="0"/>
      <w:outlineLvl w:val="5"/>
    </w:pPr>
  </w:style>
  <w:style w:type="paragraph" w:styleId="7">
    <w:name w:val="heading 7"/>
    <w:basedOn w:val="a"/>
    <w:next w:val="a0"/>
    <w:uiPriority w:val="9"/>
    <w:unhideWhenUsed/>
    <w:qFormat/>
    <w:pPr>
      <w:keepNext/>
      <w:keepLines/>
      <w:spacing w:before="200" w:after="0"/>
      <w:outlineLvl w:val="6"/>
    </w:pPr>
  </w:style>
  <w:style w:type="paragraph" w:styleId="8">
    <w:name w:val="heading 8"/>
    <w:basedOn w:val="a"/>
    <w:next w:val="a0"/>
    <w:uiPriority w:val="9"/>
    <w:unhideWhenUsed/>
    <w:qFormat/>
    <w:pPr>
      <w:keepNext/>
      <w:keepLines/>
      <w:spacing w:before="200" w:after="0"/>
      <w:outlineLvl w:val="7"/>
    </w:pPr>
  </w:style>
  <w:style w:type="paragraph" w:styleId="9">
    <w:name w:val="heading 9"/>
    <w:basedOn w:val="a"/>
    <w:next w:val="a0"/>
    <w:uiPriority w:val="9"/>
    <w:unhideWhenUsed/>
    <w:qFormat/>
    <w:pPr>
      <w:keepNext/>
      <w:keepLines/>
      <w:spacing w:before="200" w:after="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bCs/>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Название объекта Знак"/>
    <w:basedOn w:val="a1"/>
    <w:link w:val="aa"/>
  </w:style>
  <w:style w:type="character" w:customStyle="1" w:styleId="VerbatimChar">
    <w:name w:val="Verbatim Char"/>
    <w:basedOn w:val="ab"/>
    <w:link w:val="SourceCode"/>
    <w:rPr>
      <w:rFonts w:ascii="Times New Roman" w:eastAsia="Times New Roman" w:hAnsi="Times New Roman" w:cs="Times New Roman"/>
      <w:sz w:val="22"/>
    </w:rPr>
  </w:style>
  <w:style w:type="character" w:customStyle="1" w:styleId="SectionNumber">
    <w:name w:val="Section Number"/>
    <w:basedOn w:val="ab"/>
  </w:style>
  <w:style w:type="character" w:styleId="ac">
    <w:name w:val="footnote reference"/>
    <w:basedOn w:val="ab"/>
    <w:rPr>
      <w:vertAlign w:val="superscript"/>
    </w:rPr>
  </w:style>
  <w:style w:type="character" w:styleId="ad">
    <w:name w:val="Hyperlink"/>
    <w:basedOn w:val="ab"/>
    <w:rPr>
      <w:color w:val="000000"/>
    </w:rPr>
  </w:style>
  <w:style w:type="paragraph" w:styleId="ae">
    <w:name w:val="TOC Heading"/>
    <w:basedOn w:val="1"/>
    <w:next w:val="a0"/>
    <w:uiPriority w:val="39"/>
    <w:unhideWhenUsed/>
    <w:qFormat/>
    <w:pPr>
      <w:spacing w:before="240" w:line="259" w:lineRule="auto"/>
      <w:outlineLvl w:val="9"/>
    </w:pPr>
    <w:rPr>
      <w:b/>
      <w:bCs w:val="0"/>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Times New Roman" w:eastAsia="Times New Roman" w:hAnsi="Times New Roman" w:cs="Times New Roman"/>
      <w:b/>
      <w:color w:val="000000"/>
      <w:sz w:val="22"/>
    </w:rPr>
  </w:style>
  <w:style w:type="character" w:customStyle="1" w:styleId="DataTypeTok">
    <w:name w:val="DataTypeTok"/>
    <w:basedOn w:val="VerbatimChar"/>
    <w:rPr>
      <w:rFonts w:ascii="Times New Roman" w:eastAsia="Times New Roman" w:hAnsi="Times New Roman" w:cs="Times New Roman"/>
      <w:color w:val="000000"/>
      <w:sz w:val="22"/>
    </w:rPr>
  </w:style>
  <w:style w:type="character" w:customStyle="1" w:styleId="DecValTok">
    <w:name w:val="DecValTok"/>
    <w:basedOn w:val="VerbatimChar"/>
    <w:rPr>
      <w:rFonts w:ascii="Times New Roman" w:eastAsia="Times New Roman" w:hAnsi="Times New Roman" w:cs="Times New Roman"/>
      <w:color w:val="000000"/>
      <w:sz w:val="22"/>
    </w:rPr>
  </w:style>
  <w:style w:type="character" w:customStyle="1" w:styleId="BaseNTok">
    <w:name w:val="BaseNTok"/>
    <w:basedOn w:val="VerbatimChar"/>
    <w:rPr>
      <w:rFonts w:ascii="Times New Roman" w:eastAsia="Times New Roman" w:hAnsi="Times New Roman" w:cs="Times New Roman"/>
      <w:color w:val="000000"/>
      <w:sz w:val="22"/>
    </w:rPr>
  </w:style>
  <w:style w:type="character" w:customStyle="1" w:styleId="FloatTok">
    <w:name w:val="FloatTok"/>
    <w:basedOn w:val="VerbatimChar"/>
    <w:rPr>
      <w:rFonts w:ascii="Times New Roman" w:eastAsia="Times New Roman" w:hAnsi="Times New Roman" w:cs="Times New Roman"/>
      <w:color w:val="000000"/>
      <w:sz w:val="22"/>
    </w:rPr>
  </w:style>
  <w:style w:type="character" w:customStyle="1" w:styleId="ConstantTok">
    <w:name w:val="ConstantTok"/>
    <w:basedOn w:val="VerbatimChar"/>
    <w:rPr>
      <w:rFonts w:ascii="Times New Roman" w:eastAsia="Times New Roman" w:hAnsi="Times New Roman" w:cs="Times New Roman"/>
      <w:color w:val="000000"/>
      <w:sz w:val="22"/>
    </w:rPr>
  </w:style>
  <w:style w:type="character" w:customStyle="1" w:styleId="CharTok">
    <w:name w:val="CharTok"/>
    <w:basedOn w:val="VerbatimChar"/>
    <w:rPr>
      <w:rFonts w:ascii="Times New Roman" w:eastAsia="Times New Roman" w:hAnsi="Times New Roman" w:cs="Times New Roman"/>
      <w:color w:val="000000"/>
      <w:sz w:val="22"/>
    </w:rPr>
  </w:style>
  <w:style w:type="character" w:customStyle="1" w:styleId="SpecialCharTok">
    <w:name w:val="SpecialCharTok"/>
    <w:basedOn w:val="VerbatimChar"/>
    <w:rPr>
      <w:rFonts w:ascii="Times New Roman" w:eastAsia="Times New Roman" w:hAnsi="Times New Roman" w:cs="Times New Roman"/>
      <w:color w:val="000000"/>
      <w:sz w:val="22"/>
    </w:rPr>
  </w:style>
  <w:style w:type="character" w:customStyle="1" w:styleId="StringTok">
    <w:name w:val="StringTok"/>
    <w:basedOn w:val="VerbatimChar"/>
    <w:rPr>
      <w:rFonts w:ascii="Times New Roman" w:eastAsia="Times New Roman" w:hAnsi="Times New Roman" w:cs="Times New Roman"/>
      <w:color w:val="000000"/>
      <w:sz w:val="22"/>
    </w:rPr>
  </w:style>
  <w:style w:type="character" w:customStyle="1" w:styleId="VerbatimStringTok">
    <w:name w:val="VerbatimStringTok"/>
    <w:basedOn w:val="VerbatimChar"/>
    <w:rPr>
      <w:rFonts w:ascii="Times New Roman" w:eastAsia="Times New Roman" w:hAnsi="Times New Roman" w:cs="Times New Roman"/>
      <w:color w:val="000000"/>
      <w:sz w:val="22"/>
    </w:rPr>
  </w:style>
  <w:style w:type="character" w:customStyle="1" w:styleId="SpecialStringTok">
    <w:name w:val="SpecialStringTok"/>
    <w:basedOn w:val="VerbatimChar"/>
    <w:rPr>
      <w:rFonts w:ascii="Times New Roman" w:eastAsia="Times New Roman" w:hAnsi="Times New Roman" w:cs="Times New Roman"/>
      <w:color w:val="000000"/>
      <w:sz w:val="22"/>
    </w:rPr>
  </w:style>
  <w:style w:type="character" w:customStyle="1" w:styleId="ImportTok">
    <w:name w:val="ImportTok"/>
    <w:basedOn w:val="VerbatimChar"/>
    <w:rPr>
      <w:rFonts w:ascii="Times New Roman" w:eastAsia="Times New Roman" w:hAnsi="Times New Roman" w:cs="Times New Roman"/>
      <w:b/>
      <w:color w:val="000000"/>
      <w:sz w:val="22"/>
    </w:rPr>
  </w:style>
  <w:style w:type="character" w:customStyle="1" w:styleId="CommentTok">
    <w:name w:val="CommentTok"/>
    <w:basedOn w:val="VerbatimChar"/>
    <w:rPr>
      <w:rFonts w:ascii="Times New Roman" w:eastAsia="Times New Roman" w:hAnsi="Times New Roman" w:cs="Times New Roman"/>
      <w:i/>
      <w:color w:val="000000"/>
      <w:sz w:val="22"/>
    </w:rPr>
  </w:style>
  <w:style w:type="character" w:customStyle="1" w:styleId="DocumentationTok">
    <w:name w:val="DocumentationTok"/>
    <w:basedOn w:val="VerbatimChar"/>
    <w:rPr>
      <w:rFonts w:ascii="Times New Roman" w:eastAsia="Times New Roman" w:hAnsi="Times New Roman" w:cs="Times New Roman"/>
      <w:i/>
      <w:color w:val="000000"/>
      <w:sz w:val="22"/>
    </w:rPr>
  </w:style>
  <w:style w:type="character" w:customStyle="1" w:styleId="AnnotationTok">
    <w:name w:val="AnnotationTok"/>
    <w:basedOn w:val="VerbatimChar"/>
    <w:rPr>
      <w:rFonts w:ascii="Times New Roman" w:eastAsia="Times New Roman" w:hAnsi="Times New Roman" w:cs="Times New Roman"/>
      <w:b/>
      <w:i/>
      <w:color w:val="000000"/>
      <w:sz w:val="22"/>
    </w:rPr>
  </w:style>
  <w:style w:type="character" w:customStyle="1" w:styleId="CommentVarTok">
    <w:name w:val="CommentVarTok"/>
    <w:basedOn w:val="VerbatimChar"/>
    <w:rPr>
      <w:rFonts w:ascii="Times New Roman" w:eastAsia="Times New Roman" w:hAnsi="Times New Roman" w:cs="Times New Roman"/>
      <w:b/>
      <w:i/>
      <w:color w:val="000000"/>
      <w:sz w:val="22"/>
    </w:rPr>
  </w:style>
  <w:style w:type="character" w:customStyle="1" w:styleId="OtherTok">
    <w:name w:val="OtherTok"/>
    <w:basedOn w:val="VerbatimChar"/>
    <w:rPr>
      <w:rFonts w:ascii="Times New Roman" w:eastAsia="Times New Roman" w:hAnsi="Times New Roman" w:cs="Times New Roman"/>
      <w:color w:val="000000"/>
      <w:sz w:val="22"/>
    </w:rPr>
  </w:style>
  <w:style w:type="character" w:customStyle="1" w:styleId="FunctionTok">
    <w:name w:val="FunctionTok"/>
    <w:basedOn w:val="VerbatimChar"/>
    <w:rPr>
      <w:rFonts w:ascii="Times New Roman" w:eastAsia="Times New Roman" w:hAnsi="Times New Roman" w:cs="Times New Roman"/>
      <w:color w:val="000000"/>
      <w:sz w:val="22"/>
    </w:rPr>
  </w:style>
  <w:style w:type="character" w:customStyle="1" w:styleId="VariableTok">
    <w:name w:val="VariableTok"/>
    <w:basedOn w:val="VerbatimChar"/>
    <w:rPr>
      <w:rFonts w:ascii="Times New Roman" w:eastAsia="Times New Roman" w:hAnsi="Times New Roman" w:cs="Times New Roman"/>
      <w:color w:val="000000"/>
      <w:sz w:val="22"/>
    </w:rPr>
  </w:style>
  <w:style w:type="character" w:customStyle="1" w:styleId="ControlFlowTok">
    <w:name w:val="ControlFlowTok"/>
    <w:basedOn w:val="VerbatimChar"/>
    <w:rPr>
      <w:rFonts w:ascii="Times New Roman" w:eastAsia="Times New Roman" w:hAnsi="Times New Roman" w:cs="Times New Roman"/>
      <w:b/>
      <w:color w:val="000000"/>
      <w:sz w:val="22"/>
    </w:rPr>
  </w:style>
  <w:style w:type="character" w:customStyle="1" w:styleId="OperatorTok">
    <w:name w:val="OperatorTok"/>
    <w:basedOn w:val="VerbatimChar"/>
    <w:rPr>
      <w:rFonts w:ascii="Times New Roman" w:eastAsia="Times New Roman" w:hAnsi="Times New Roman" w:cs="Times New Roman"/>
      <w:color w:val="000000"/>
      <w:sz w:val="22"/>
    </w:rPr>
  </w:style>
  <w:style w:type="character" w:customStyle="1" w:styleId="BuiltInTok">
    <w:name w:val="BuiltInTok"/>
    <w:basedOn w:val="VerbatimChar"/>
    <w:rPr>
      <w:rFonts w:ascii="Times New Roman" w:eastAsia="Times New Roman" w:hAnsi="Times New Roman" w:cs="Times New Roman"/>
      <w:color w:val="000000"/>
      <w:sz w:val="22"/>
    </w:rPr>
  </w:style>
  <w:style w:type="character" w:customStyle="1" w:styleId="ExtensionTok">
    <w:name w:val="ExtensionTok"/>
    <w:basedOn w:val="VerbatimChar"/>
    <w:rPr>
      <w:rFonts w:ascii="Times New Roman" w:eastAsia="Times New Roman" w:hAnsi="Times New Roman" w:cs="Times New Roman"/>
      <w:sz w:val="22"/>
    </w:rPr>
  </w:style>
  <w:style w:type="character" w:customStyle="1" w:styleId="PreprocessorTok">
    <w:name w:val="PreprocessorTok"/>
    <w:basedOn w:val="VerbatimChar"/>
    <w:rPr>
      <w:rFonts w:ascii="Times New Roman" w:eastAsia="Times New Roman" w:hAnsi="Times New Roman" w:cs="Times New Roman"/>
      <w:color w:val="000000"/>
      <w:sz w:val="22"/>
    </w:rPr>
  </w:style>
  <w:style w:type="character" w:customStyle="1" w:styleId="AttributeTok">
    <w:name w:val="AttributeTok"/>
    <w:basedOn w:val="VerbatimChar"/>
    <w:rPr>
      <w:rFonts w:ascii="Times New Roman" w:eastAsia="Times New Roman" w:hAnsi="Times New Roman" w:cs="Times New Roman"/>
      <w:color w:val="000000"/>
      <w:sz w:val="22"/>
    </w:rPr>
  </w:style>
  <w:style w:type="character" w:customStyle="1" w:styleId="RegionMarkerTok">
    <w:name w:val="RegionMarkerTok"/>
    <w:basedOn w:val="VerbatimChar"/>
    <w:rPr>
      <w:rFonts w:ascii="Times New Roman" w:eastAsia="Times New Roman" w:hAnsi="Times New Roman" w:cs="Times New Roman"/>
      <w:sz w:val="22"/>
    </w:rPr>
  </w:style>
  <w:style w:type="character" w:customStyle="1" w:styleId="InformationTok">
    <w:name w:val="InformationTok"/>
    <w:basedOn w:val="VerbatimChar"/>
    <w:rPr>
      <w:rFonts w:ascii="Times New Roman" w:eastAsia="Times New Roman" w:hAnsi="Times New Roman" w:cs="Times New Roman"/>
      <w:b/>
      <w:i/>
      <w:color w:val="000000"/>
      <w:sz w:val="22"/>
    </w:rPr>
  </w:style>
  <w:style w:type="character" w:customStyle="1" w:styleId="WarningTok">
    <w:name w:val="WarningTok"/>
    <w:basedOn w:val="VerbatimChar"/>
    <w:rPr>
      <w:rFonts w:ascii="Times New Roman" w:eastAsia="Times New Roman" w:hAnsi="Times New Roman" w:cs="Times New Roman"/>
      <w:b/>
      <w:i/>
      <w:color w:val="000000"/>
      <w:sz w:val="22"/>
    </w:rPr>
  </w:style>
  <w:style w:type="character" w:customStyle="1" w:styleId="AlertTok">
    <w:name w:val="AlertTok"/>
    <w:basedOn w:val="VerbatimChar"/>
    <w:rPr>
      <w:rFonts w:ascii="Times New Roman" w:eastAsia="Times New Roman" w:hAnsi="Times New Roman" w:cs="Times New Roman"/>
      <w:b/>
      <w:color w:val="000000"/>
      <w:sz w:val="22"/>
    </w:rPr>
  </w:style>
  <w:style w:type="character" w:customStyle="1" w:styleId="ErrorTok">
    <w:name w:val="ErrorTok"/>
    <w:basedOn w:val="VerbatimChar"/>
    <w:rPr>
      <w:rFonts w:ascii="Times New Roman" w:eastAsia="Times New Roman" w:hAnsi="Times New Roman" w:cs="Times New Roman"/>
      <w:b/>
      <w:color w:val="000000"/>
      <w:sz w:val="22"/>
    </w:rPr>
  </w:style>
  <w:style w:type="character" w:customStyle="1" w:styleId="NormalTok">
    <w:name w:val="NormalTok"/>
    <w:basedOn w:val="VerbatimCha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Times New Roman"/>
        <a:cs typeface="Times New Roman"/>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1369</Words>
  <Characters>7809</Characters>
  <Application>Microsoft Office Word</Application>
  <DocSecurity>0</DocSecurity>
  <Lines>65</Lines>
  <Paragraphs>18</Paragraphs>
  <ScaleCrop>false</ScaleCrop>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УСЛОВИЯ ОПЛАТЫ, ОТМЕНЫ И ВОЗВРАТА ДЕНЕЖНЫХ СРЕДСТВ сервиса «Капсула времени»</dc:title>
  <dc:creator>Сапрыкин Александр Алексеевич</dc:creator>
  <cp:keywords/>
  <cp:lastModifiedBy>Александр Сериков</cp:lastModifiedBy>
  <cp:revision>2</cp:revision>
  <dcterms:created xsi:type="dcterms:W3CDTF">2026-08-30T11:15:00Z</dcterms:created>
  <dcterms:modified xsi:type="dcterms:W3CDTF">2026-08-30T11:15:00Z</dcterms:modified>
</cp:coreProperties>
</file>